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1E0"/>
      </w:tblPr>
      <w:tblGrid>
        <w:gridCol w:w="9104"/>
      </w:tblGrid>
      <w:tr w:rsidR="003C073E" w:rsidRPr="003C073E" w:rsidTr="003C073E">
        <w:trPr>
          <w:jc w:val="center"/>
        </w:trPr>
        <w:tc>
          <w:tcPr>
            <w:tcW w:w="9104" w:type="dxa"/>
            <w:hideMark/>
          </w:tcPr>
          <w:tbl>
            <w:tblPr>
              <w:tblW w:w="8789" w:type="dxa"/>
              <w:jc w:val="center"/>
              <w:tblLook w:val="01E0"/>
            </w:tblPr>
            <w:tblGrid>
              <w:gridCol w:w="2931"/>
              <w:gridCol w:w="2931"/>
              <w:gridCol w:w="2927"/>
            </w:tblGrid>
            <w:tr w:rsidR="003C073E" w:rsidRPr="003C073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3C073E" w:rsidRPr="003C073E" w:rsidRDefault="003C073E" w:rsidP="003C073E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tr-TR"/>
                    </w:rPr>
                  </w:pPr>
                  <w:r w:rsidRPr="003C073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3 Ekim </w:t>
                  </w:r>
                  <w:proofErr w:type="gramStart"/>
                  <w:r w:rsidRPr="003C073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2014  CUMA</w:t>
                  </w:r>
                  <w:proofErr w:type="gramEnd"/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3C073E" w:rsidRPr="003C073E" w:rsidRDefault="003C073E" w:rsidP="003C073E">
                  <w:pPr>
                    <w:tabs>
                      <w:tab w:val="left" w:pos="567"/>
                      <w:tab w:val="center" w:pos="994"/>
                      <w:tab w:val="center" w:pos="3543"/>
                      <w:tab w:val="right" w:pos="6520"/>
                    </w:tabs>
                    <w:spacing w:after="0" w:line="240" w:lineRule="exact"/>
                    <w:jc w:val="center"/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</w:pPr>
                  <w:r w:rsidRPr="003C073E">
                    <w:rPr>
                      <w:rFonts w:ascii="Palatino Linotype" w:eastAsia="Times New Roman" w:hAnsi="Palatino Linotype" w:cs="Times New Roman"/>
                      <w:b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4" w:space="0" w:color="660066"/>
                    <w:right w:val="nil"/>
                  </w:tcBorders>
                  <w:vAlign w:val="center"/>
                  <w:hideMark/>
                </w:tcPr>
                <w:p w:rsidR="003C073E" w:rsidRPr="003C073E" w:rsidRDefault="003C073E" w:rsidP="003C07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</w:pPr>
                  <w:proofErr w:type="gramStart"/>
                  <w:r w:rsidRPr="003C073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29138</w:t>
                  </w:r>
                  <w:proofErr w:type="gramEnd"/>
                </w:p>
              </w:tc>
            </w:tr>
            <w:tr w:rsidR="003C073E" w:rsidRPr="003C073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  <w:hideMark/>
                </w:tcPr>
                <w:p w:rsidR="003C073E" w:rsidRPr="003C073E" w:rsidRDefault="003C073E" w:rsidP="003C07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3C073E" w:rsidRPr="003C073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vAlign w:val="center"/>
                </w:tcPr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Bankac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k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  <w:u w:val="single"/>
                    </w:rPr>
                    <w:t>zenleme ve Denetleme Kurumundan:</w:t>
                  </w:r>
                </w:p>
                <w:p w:rsidR="003C073E" w:rsidRPr="003C073E" w:rsidRDefault="003C073E" w:rsidP="003C073E">
                  <w:pPr>
                    <w:spacing w:before="56"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F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NANSAL T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KET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LERDEN ALINACAK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CRETLERE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İŞ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US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Û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</w:p>
                <w:p w:rsidR="003C073E" w:rsidRPr="003C073E" w:rsidRDefault="003C073E" w:rsidP="003C073E">
                  <w:pPr>
                    <w:spacing w:after="17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VE ESASLAR HAKKINDA Y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NETMEL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, Kapsam, Dayanak ve Tan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Ama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ç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amac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keticilere sunulan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hizmetlere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faiz veya 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pay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her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cret, komisyon ve masraf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rleri ile bunlara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</w:t>
                  </w:r>
                  <w:proofErr w:type="spell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û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proofErr w:type="spell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esaslar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belirlemektir.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Kapsam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2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bankalar,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kredisi veren finansal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 ve kart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karan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ile bu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keticiye sunulan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veya hizmetleri kapsar.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lgili mevzuat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keticilerin menkul 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ymet ve sigortac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lemleri ile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ek, senet ve teminat mektubu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kar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talep edebilecekleri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bu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kapsam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ildir.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Dayanak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3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netmelik, </w:t>
                  </w:r>
                  <w:proofErr w:type="gram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7/11/2013</w:t>
                  </w:r>
                  <w:proofErr w:type="gram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6502 say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Korunmas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Kanunun 4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maddesinin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dayan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haz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Tan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mlar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4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uygulanmas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nda;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a) ATM: Otomatik para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leminin yan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ra di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bankac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lemlerinin tamam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bir 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ger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tirilmesine imk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veren elektronik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cihazlar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b) Bakanl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k: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ve Ticaret Bakanl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c) Banka: </w:t>
                  </w:r>
                  <w:proofErr w:type="gram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19/10/2005</w:t>
                  </w:r>
                  <w:proofErr w:type="gram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5411 say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Bankac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Kanununun 3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maddesinde tan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bankalar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Birlikler: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Bankalar Birli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Kat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 Bankalar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ve Finansal Kiralama, </w:t>
                  </w:r>
                  <w:proofErr w:type="spell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Faktoring</w:t>
                  </w:r>
                  <w:proofErr w:type="spell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Finansman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irketleri Birli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d)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ketici: Kanunun 3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maddesinde tan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keticilerden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larca kendisine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 sunulan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keticiyi,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e) Hesap: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vadeli, vadesiz mevduat hesab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kat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lma ve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cari hesab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f) Kal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Kanunun 3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maddesinde tan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mlanan kal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g) Kanun: </w:t>
                  </w:r>
                  <w:proofErr w:type="gram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7/11/2013</w:t>
                  </w:r>
                  <w:proofErr w:type="gram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6502 say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Korunmas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Hakk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Kanunu,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) Kart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karan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: </w:t>
                  </w:r>
                  <w:proofErr w:type="gram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23/2/2006</w:t>
                  </w:r>
                  <w:proofErr w:type="gram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tarihli ve 5464 say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Banka Kartlar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Kredi Kartlar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Kanununun 3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maddesinde tan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mlanan kart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karan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h) Kurul: Bankac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ve Denetleme Kurulunu,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)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lar: Bankalar,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kredisi veren finansal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 ve kart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karan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i) Kurum: Bankac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ve Denetleme Kurumunu,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j) Onay: Yaz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olarak, kal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yoluyla veya kayd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tutulan telefon kullan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larak veya Kurumca uygun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lecek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ntemlerden herhangi biri ile ula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nerinin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kabul edilmesini ya da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ula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nerinin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kabul edilmesini,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k)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cret: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keticiden faiz, 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pay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vergi, fon ve benzeri yasal giderler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talep edilen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cret, komisyon, masraf ve benzeri adlar alt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her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parasal tutar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ifade</w:t>
                  </w:r>
                  <w:proofErr w:type="gram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eder.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 Esaslar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,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 veya Hizmetlerin S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fland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lmas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 esaslar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5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ile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 aras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ve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bilgilendirmeler en az on iki punto 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nde, anla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labilir bir dilde, 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k, sade ve okunabilir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zenlenir ve bunlar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bir 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shas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veya kal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verilir.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zenlenecek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melerde,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“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bir 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shas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elden ald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m.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”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eklindeki ibarenin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kapsam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nabilecek her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onay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onay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ispat edilemedi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takdirde, onay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 ile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 kapsam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sunulacak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veya hizmetlerin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tarifesini ve bilgi verilmesi gereken di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hususlar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stermek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meye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her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veya hizmetin asgari olarak;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ad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tan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vadesi ya da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resi, tahsil edilecek faiz, 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pay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kalemleri ile bunlar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tahsil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ntemi, ge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 oldu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re, ge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erlilik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resi sonunda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tutar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oran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 da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hangi esasa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hususlar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erecek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bilgilendirme formu haz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rlanmas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 </w:t>
                  </w:r>
                  <w:proofErr w:type="gram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Bilgilendirme formu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ayr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 bir par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menin yaz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kurulmas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 bu formun taraflarca imzalanm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shas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verilmesi zorunludur. Kal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telefon arac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kurulan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melerde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kullan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araca uygun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ekilde bilgilendirilir.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spat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lara aittir.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sunulan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hizmetlere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sigorta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melerinin,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hizmetlere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melerden ayr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zenlenmesi zorunludur.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cretlerin s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fland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lmas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6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cretlendirilebilecek olan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hizmetler Ek-1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 finansal niteliklerine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ayr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Kurumun uygun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Birlikler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ve ekinde yer alanlar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herhangi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rmada yer almayan, yeni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veya hizmet grubunun belirlenmesi veya yeni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kaleminin olu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turulabilmesi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ilgili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Kuruldan izin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zorunludur. Kurul gerekli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hallerde Ek-1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deki listeyi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tirmeye yetkilidir. Ek-1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deki listenin Kurul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tirilmesi durumunda,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 takip eden 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sonuna kadar yeni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fland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rmaya intibak etmekle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cretlerin de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tirilmesi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7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Bir takvim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inde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cretlerde,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rkiye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statistik Kurumunca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nceki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lsonu itibariyle 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klanan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fiyatlar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endeksi 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1,2 kat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labilmesi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keticiden onay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, bunun alt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ren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ikliklerin ise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en az otuz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yaz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veya kal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yoluyla veya kayd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tutulan telefon vas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bildirilmesi zorunludur. </w:t>
                  </w:r>
                  <w:proofErr w:type="gram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Bu bildirim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zerine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kendisine bildirim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tarihten itibaren </w:t>
                  </w:r>
                  <w:proofErr w:type="spell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onbe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proofErr w:type="spell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sonras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kadar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hizmetin kullan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vazge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hakk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vard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hakk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kullan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linde uygulanacak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girdi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tarihten itibaren ilave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lar, vazge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hakk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kullanan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uyu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mazl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konusu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hizmeti vermeyi durdurabilir.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keticinin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kullanmaya veya hizmeti almaya devam etmesi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kabul edildi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varsay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reklilik arz etmeyen para transferleri, fatura tahsil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gibi anl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 ve hizmetlerden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 tahsil edilmeden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nce,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lemin ger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tirildi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alan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uygun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onay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yukar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da belirtilen bildirim ve onay alma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kleri uygulanmaz.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cretlerin iadesi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8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Tahsil edilen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cretlerin,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karar birimleri veya adli, idari ve yetkili di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makamlar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kararlar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neticesinde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iadesinin gerekmesi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iadesi gereken tutar ve tahsil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ntemi hakk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yoluyla veya kayd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tutulan telefon ile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bilgilendirme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iadesine karar verilen tutar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bildirece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hesaba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cretsiz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nderilmesine veya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keticinin talebine istinaden nakden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denmesine imk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layacak sistemi kurmakla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Bilgilendirme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9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keticilerden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nacak faiz, 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pay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,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ve di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kesintilere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 bilgiler 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k, anla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kolay eri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ilebilir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internet sitelerinde kar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rmaya uygun bir bi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imde yer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bilgilerde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olmas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internet sitesi 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zamanl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ncellenir.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lar, kredi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nlerinin kullan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linde ortaya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kacak faiz, 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pay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oran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bilgilerini detayl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steren hesaplama ara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internet sitelerinde sunmakla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onay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almaks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yapt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bildirimlerden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 alamaz.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mevzuat gere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belirli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 olan bildirim ve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lemlerden maliyetleri kadar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 Bunlar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kalan onaya ba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bildirimler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mede yer verilmesi kayd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cretlendirilebilir.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Ger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lemlere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olarak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verilecek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fi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i,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ve bilgilendirmeye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di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evrak ayr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cretlendirilemez.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keticilerin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me,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fi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ve benzeri dok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rne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talep etmeleri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larca ilgili dok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 tarihinden sonraki ilk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herhangi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namaz.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lgili dok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zenlenme tarihinden itibaren bir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renin ge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bilgi verilmek suretiyle,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 orant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olacak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ekilde makul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Bu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tarihinden sonra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zenlenecek yaz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ve bilgilendirme form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eriklerinin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rne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ine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internet sitelerinde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cretsiz eri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im imk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Kurum bilgilendirmelerde veya onay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kullan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ntemlerin etkin olmad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kanaatine var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rsa, her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 baz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belirlenecek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ntemlerin kullan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zorunlu tutabilir.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Ger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lemlerde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bilgisine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fi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yer verilmesi zorunludur.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(8)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bu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 konu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cretlerin azami ve asgari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ncel tutarlar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oranlar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Kurumca belirlenecek kanallarda ve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ntemle il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etmekle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lastRenderedPageBreak/>
                    <w:t>ÜÇÜ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n veya Hizmetlere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li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kin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zel H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ketici ve konut finansman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kredilerine ili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kin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cretler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10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keticilere kulland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krediler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kredi ihtiyac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olanak sa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layan sistemin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letilmesi ve </w:t>
                  </w:r>
                  <w:proofErr w:type="spell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operasyonel</w:t>
                  </w:r>
                  <w:proofErr w:type="spell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lerin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netilmesi amac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nan tahsis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nda, istihbarat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creti, kredi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fi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creti,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 plan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tirme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creti,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ken taksitli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 plan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gibi her ne ad alt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olursa olsun ba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kaca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namaz. </w:t>
                  </w:r>
                  <w:proofErr w:type="gram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Kredi tahsis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creti, kulland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kredi anaparas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binde be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ini ge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emez. Kurul, gerekli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hallerde bu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rmaya ve azaltmaya yetkilidir.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Ta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ve ta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nmazlara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rehin, ipotek ve </w:t>
                  </w:r>
                  <w:proofErr w:type="gram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ekspertiz</w:t>
                  </w:r>
                  <w:proofErr w:type="gram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lemlerinde yaln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zca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ilere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denen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Reddedilen kredi taleplerinden bir kamu kurum ve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una veya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ilere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denen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 hari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zere herhangi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proofErr w:type="gram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Konut finansman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melerinde faiz oran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pay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sabit olarak belirlenmesi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krediyi tahsis eden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nezdinde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mede yer verilmek suretiyle, bir veya birden fazla taksit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demesinin vadesinden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kredinin faiz oran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pay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lehine mutab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iklik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llerinde, Kanunun 37 </w:t>
                  </w:r>
                  <w:proofErr w:type="spell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nci</w:t>
                  </w:r>
                  <w:proofErr w:type="spell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maddesinde yer alan erken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 tazminat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haricinde hi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namaz. </w:t>
                  </w:r>
                  <w:proofErr w:type="gram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Tahsil edilebilecek erken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 tazminat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ise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lacak faiz veya 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pay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indirimi tutar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amaz.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keticilerin ilgili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lardan bor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bulunmad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dair talep ettikleri bilgi yaz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bir defaya mahsus olmak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zere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(6) Kredili mevduat hesaplar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kulland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krediler ile kredi kartlar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taksitli nakit avans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tahsil edilemez.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Belirli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reli kredi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mesine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bir hesap 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bu hesaptan sadece kredi ile ilgili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durumunda, bu hesaba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herhangi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 Bu hesap,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aksine yaz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talebi olmamas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linde kredinin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denmesi ile kapan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(8)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onay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n, belirli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reli kredi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 ile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kili bir kredili hesap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 ve kredi tahsil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 hesaptan ger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tirilemez.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Banka ve kredi kart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cretleri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11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Kart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karan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lar,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ve benzeri ad alt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tahsil etmedikleri bir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sunmak zorundad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cretsiz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larca reddedilmesi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bu ba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vuruya istinaden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olan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verilemez. Kart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karan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bulunmayan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limiti belirlerken,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bulunan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erlendirme </w:t>
                  </w:r>
                  <w:proofErr w:type="gram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kriterlerini</w:t>
                  </w:r>
                  <w:proofErr w:type="gram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aynen uygulamakla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keticilerin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bulunan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limiti ayn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kalmak kayd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bulunmayan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tirme talepleri, kart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karan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yerine getirilmek zorundad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iptal talepleri, ilgili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kilendirilen herhangi bir bor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bakiyesi bulundu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gerek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sterilerek reddedilemez. Bu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iptal edilen kredi kartlar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bor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geri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nemlerinde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tahsil edilemez.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Banka kartlar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sanal kredi kartlar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Birinci ve ikinci 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krada yer verilen kartlar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ndaki kredi kartlar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zelliklerine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olarak belirlenen tutar kadar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cretlendirilebilir. 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karta ba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sunulan her bir ek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creti, 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cretinin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zde ellisini ge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emez.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(5)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creti, ancak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keticiyi bor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nitelikteki ilk kullan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teakip ve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olarak tahakkuk ettirilebilir.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(6) Kesintisiz olarak, en az </w:t>
                  </w:r>
                  <w:proofErr w:type="spell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zseksen</w:t>
                  </w:r>
                  <w:proofErr w:type="spell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reyle hareket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rmeyen kredi kartlar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hareketsiz kart kabul edilir ve bu kartlara hareketsiz kald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ddet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yans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lamaz.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lar,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keticiye yaz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olarak veya kal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veri saklay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veya kayd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tutulan telefon ile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nceden bilgi vermek suretiyle bu nitelikteki kredi kartlar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kapatma hakk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sahiptir.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(7) Hareketsiz kartlarda tahsil edilemeyen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cretleri, tahakkuk tarihinden itibaren en fazla son </w:t>
                  </w:r>
                  <w:proofErr w:type="spell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oniki</w:t>
                  </w:r>
                  <w:proofErr w:type="spell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ayl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sonradan tahsil edilmek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bekletilebilir. Bu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zarf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cretlerinin tahsili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icra takibi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lamaz. Bu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faiz veya 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 pay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letilemez ve Kredi Kay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 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rosu ile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Bankalar Birli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Risk Merkezi bildirimleri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lmaz. 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proofErr w:type="spell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oniki</w:t>
                  </w:r>
                  <w:proofErr w:type="spell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ayl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sonunda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yelik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cretlerinin tahsil edilememesi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linde ise bu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 iptal edilir.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cretinin tahsili amac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kredilendirilemez.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(8) Hesap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zeti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nderimi, sanal kart olu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turma ve kullan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bir takvim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kay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p,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benzeri nedenler dolay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ger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tirilen iki </w:t>
                  </w:r>
                  <w:proofErr w:type="gram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adete</w:t>
                  </w:r>
                  <w:proofErr w:type="gram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kadar kart yenileme kar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Para transfer i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lemleri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12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hesab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bulundu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alanlar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herhangi birini kullanmak suretiyle kendi hesab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para yat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hesab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bulundu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ubeden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ad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lastRenderedPageBreak/>
                    <w:t>ki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ilerin para yat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lemlerinden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Gelen veya giden elektronik fon transfer sistemi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lemlerinde,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hatas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nedeniyle para iadesi gereken durumlarda,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rkiye Cumhuriyet Merkez Bankas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denen masraflar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keticiden herhangi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 Havalenin iadesi, reddi, devri ya da havale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lemine dair bilgi de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ikli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lemlerinden bir kamu kurum ve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una veya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üçü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ki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ilere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denen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zenli veya rutin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saatleri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para transferleri, banka ve kredi kart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veya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demeli kartlardan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 para transfer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lemleri ile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 nitelikli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lemlerin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cretleri,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ile banka aras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 ile belirlenir.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(4)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larda herhangi bir hesab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bulunmayan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keticilerin ger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tirdi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para transfer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lemlerinde, bu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 ger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meden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keticiye ilgili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crete dair bilgi verilir.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İş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tutar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ve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bilgisi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fi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zerinde 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sterilir.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Mevduat ve kat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 fonu i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lemleri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13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Hesap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letim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creti,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hesap say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ba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olmaks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teri baz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ilgili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un belirledi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nemlerde tahakkuk ve tahsil edilebilir. Hesab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erisinde kapat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linde, hesab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oldu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neme tekab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 eden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nabilir. Hesap 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ma ve kapama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ile hesap 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zdan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yazd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lemlerinden herhangi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(2) Kesintisiz olarak, en az </w:t>
                  </w:r>
                  <w:proofErr w:type="spell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zseksen</w:t>
                  </w:r>
                  <w:proofErr w:type="spell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reyle hi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bir hesab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hareket g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rmeyen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keticilerden bu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re zarf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hesap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letim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 Tahsil edilemeyen hesap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letim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creti, tahakkuk tarihinden itibaren en fazla son </w:t>
                  </w:r>
                  <w:proofErr w:type="spell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oniki</w:t>
                  </w:r>
                  <w:proofErr w:type="spell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ayl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in sonradan tahsil edilmek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zere bekletilebilir. Bu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zarf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hesap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letim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cretlerinin tahsili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icra takibi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lamaz, 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proofErr w:type="spell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oniki</w:t>
                  </w:r>
                  <w:proofErr w:type="spell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ayl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nem sonunda hesap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letim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cretlerinin tahsil edilememesi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linde ise bu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cretler iptal edilir.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ketici, hesap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letim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cretinin tahsili amac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yla kredilendirilemez.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ATM kullan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ve kiral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 kasa hizmeti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14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hesab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bulundu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u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ait ATM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lerden kendi hesab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para yat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rma, bakiye sorgulama ve ilgili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belirlenen limit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hilinde yap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para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ekme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lemlerinden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ATM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’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si vas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ile ger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tirilen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lemlerden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nabilecek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cret, di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kar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denen tutar dikkate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ile ilgili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aras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zenlenen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evesinde belirlenir veya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 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onay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narak tahsil edilebilir.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(3) Kiral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kasa ziyaretine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kin herhangi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namaz. Kiral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kasa hizmetinin sona ermesi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kiral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kasaya ili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kin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taraf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ger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tirilen bir hasar,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denmeyen kira bedelleri ve kiral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kasa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mesinden do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an di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er bor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dolay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yla depozito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cretinden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üşü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lerek kalan tutar derhal iade edilir.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Kampanyalar ve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zel hizmetler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15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birden fazla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hizmeti bir arada sunmalar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na imk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veren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veya hizmet paketlerinde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hizmetlerin ayr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ayr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proofErr w:type="spellEnd"/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sunulmas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nda elde edilebilecek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toplam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mayacak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ekilde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tahsil edilebilir. Ayr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ca,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itli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hizmetlerini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yarar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na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zellikler bar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racak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ekilde kampanya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zenleyebilirler. Bu kampanyalar kapsam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keticinin talebine sunulan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n veya hizmetlerden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tahsil edilebilir. Bunlar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talebi ve bilgilendirilmesi suretiyle sunduklar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zellikli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hizmetlerden de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 ile mutab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kalarak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cret tahsil edebilirler.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Kurulu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finansal 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keticinin harcama, talimat gibi taahh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tler kar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belirli bir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hizmetten faydalanmas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layan uygulamalar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nda, ilgili taahh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yerine getirilememesi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â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linde pe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olarak verilen puan veya faydalan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lan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 veya hizmet bedelinin taahh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tle kar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lanamayan 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sm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ışı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herhangi bir ceza bedeli tahsil edilemez.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D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RD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NC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 B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center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Son H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mler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İ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ntibak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16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tarihinden sonra kurulacak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melere uygulan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(2) Bu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mleri,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tarihinden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kurulmu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melere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tarihinden sonra ger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tirilecek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 bak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ndan uygulan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 Bu nitelikteki s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melerin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in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k tarihinden 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nce ger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ç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ekle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tirilmi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i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lemleri hakk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nda bu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 uygulanmaz.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rl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k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17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yay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tarihinde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e girer.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Y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tme</w:t>
                  </w:r>
                </w:p>
                <w:p w:rsidR="003C073E" w:rsidRPr="003C073E" w:rsidRDefault="003C073E" w:rsidP="003C073E">
                  <w:pPr>
                    <w:tabs>
                      <w:tab w:val="left" w:pos="566"/>
                    </w:tabs>
                    <w:spacing w:after="0" w:line="240" w:lineRule="exact"/>
                    <w:ind w:firstLine="566"/>
                    <w:jc w:val="both"/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</w:pP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 xml:space="preserve">MADDE 18 </w:t>
                  </w:r>
                  <w:r w:rsidRPr="003C073E">
                    <w:rPr>
                      <w:rFonts w:ascii="Times New Roman" w:eastAsia="ヒラギノ明朝 Pro W3" w:hAnsi="Times" w:cs="Times New Roman"/>
                      <w:b/>
                      <w:sz w:val="18"/>
                      <w:szCs w:val="18"/>
                    </w:rPr>
                    <w:t>–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(1) Bu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ö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netmelik h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mlerini Bankac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l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 D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zenleme ve Denetleme Kurumu Ba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ş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kan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ı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 xml:space="preserve"> y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t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ü</w:t>
                  </w:r>
                  <w:r w:rsidRPr="003C073E">
                    <w:rPr>
                      <w:rFonts w:ascii="Times New Roman" w:eastAsia="ヒラギノ明朝 Pro W3" w:hAnsi="Times" w:cs="Times New Roman"/>
                      <w:sz w:val="18"/>
                      <w:szCs w:val="18"/>
                    </w:rPr>
                    <w:t>r.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  <w:p w:rsidR="003C073E" w:rsidRPr="003C073E" w:rsidRDefault="003C073E" w:rsidP="003C073E">
                  <w:pPr>
                    <w:spacing w:after="0" w:line="240" w:lineRule="exact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  <w:p w:rsidR="003C073E" w:rsidRPr="003C073E" w:rsidRDefault="003C073E" w:rsidP="003C073E">
                  <w:pPr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rPr>
                      <w:rFonts w:ascii="Times New Roman" w:hAnsi="Times New Roman" w:cs="Times New Roman"/>
                      <w:sz w:val="18"/>
                      <w:lang w:eastAsia="tr-TR"/>
                    </w:rPr>
                  </w:pPr>
                  <w:r w:rsidRPr="003C073E">
                    <w:rPr>
                      <w:rFonts w:ascii="Times New Roman" w:hAnsi="Times New Roman" w:cs="Times New Roman"/>
                      <w:b/>
                      <w:sz w:val="18"/>
                      <w:lang w:eastAsia="tr-TR"/>
                    </w:rPr>
                    <w:t>Ek-1</w:t>
                  </w:r>
                </w:p>
                <w:p w:rsidR="003C073E" w:rsidRPr="003C073E" w:rsidRDefault="003C073E" w:rsidP="003C073E">
                  <w:pPr>
                    <w:autoSpaceDE w:val="0"/>
                    <w:autoSpaceDN w:val="0"/>
                    <w:adjustRightInd w:val="0"/>
                    <w:spacing w:after="0" w:line="24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18"/>
                      <w:lang w:eastAsia="tr-TR"/>
                    </w:rPr>
                  </w:pPr>
                </w:p>
                <w:p w:rsidR="003C073E" w:rsidRPr="003C073E" w:rsidRDefault="003C073E" w:rsidP="003C073E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lastRenderedPageBreak/>
                    <w:t>Ürün veya Hizmet Sınıflandırmaları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</w:p>
                <w:p w:rsidR="003C073E" w:rsidRPr="003C073E" w:rsidRDefault="003C073E" w:rsidP="003C073E">
                  <w:pPr>
                    <w:pBdr>
                      <w:bottom w:val="single" w:sz="4" w:space="1" w:color="auto"/>
                    </w:pBd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1. Bireysel Krediler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1F497D"/>
                      <w:sz w:val="18"/>
                      <w:szCs w:val="18"/>
                      <w:u w:val="single"/>
                      <w:lang w:eastAsia="tr-TR"/>
                    </w:rPr>
                  </w:pPr>
                </w:p>
                <w:p w:rsidR="003C073E" w:rsidRPr="003C073E" w:rsidRDefault="003C073E" w:rsidP="003C073E">
                  <w:pPr>
                    <w:spacing w:after="0" w:line="240" w:lineRule="exact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1.1. Tahsis Ücreti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1.2. Ekspertiz Ücreti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 xml:space="preserve">1.3. Taşınır ve Taşınmaz Rehin Tesis Ücreti 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3C073E" w:rsidRPr="003C073E" w:rsidRDefault="003C073E" w:rsidP="003C073E">
                  <w:pPr>
                    <w:pBdr>
                      <w:bottom w:val="single" w:sz="4" w:space="1" w:color="auto"/>
                    </w:pBd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2. Mevduat/Katılım Fonu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2.1. Hesap İşletim Ücreti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2.2. Para Çekme Ücreti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3C073E" w:rsidRPr="003C073E" w:rsidRDefault="003C073E" w:rsidP="003C073E">
                  <w:pPr>
                    <w:pBdr>
                      <w:bottom w:val="single" w:sz="4" w:space="1" w:color="auto"/>
                    </w:pBd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3. Para Transferleri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3C073E" w:rsidRPr="003C073E" w:rsidRDefault="003C073E" w:rsidP="003C073E">
                  <w:pPr>
                    <w:pBdr>
                      <w:bottom w:val="single" w:sz="4" w:space="1" w:color="auto"/>
                    </w:pBd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3.1. Elektronik Fon Transferi Ücreti</w:t>
                  </w:r>
                </w:p>
                <w:p w:rsidR="003C073E" w:rsidRPr="003C073E" w:rsidRDefault="003C073E" w:rsidP="003C073E">
                  <w:pPr>
                    <w:pBdr>
                      <w:bottom w:val="single" w:sz="4" w:space="1" w:color="auto"/>
                    </w:pBd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3.2. Havale Ücreti</w:t>
                  </w:r>
                </w:p>
                <w:p w:rsidR="003C073E" w:rsidRPr="003C073E" w:rsidRDefault="003C073E" w:rsidP="003C073E">
                  <w:pPr>
                    <w:pBdr>
                      <w:bottom w:val="single" w:sz="4" w:space="1" w:color="auto"/>
                    </w:pBd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3.3. Swift Ücreti</w:t>
                  </w:r>
                </w:p>
                <w:p w:rsidR="003C073E" w:rsidRPr="003C073E" w:rsidRDefault="003C073E" w:rsidP="003C073E">
                  <w:pPr>
                    <w:pBdr>
                      <w:bottom w:val="single" w:sz="4" w:space="1" w:color="auto"/>
                    </w:pBd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</w:p>
                <w:p w:rsidR="003C073E" w:rsidRPr="003C073E" w:rsidRDefault="003C073E" w:rsidP="003C073E">
                  <w:pPr>
                    <w:pBdr>
                      <w:bottom w:val="single" w:sz="4" w:space="1" w:color="auto"/>
                    </w:pBd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4. Kredi Kartları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color w:val="1F497D"/>
                      <w:sz w:val="18"/>
                      <w:szCs w:val="18"/>
                      <w:u w:val="single"/>
                      <w:lang w:eastAsia="tr-TR"/>
                    </w:rPr>
                  </w:pP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4.1. Yıllık Üyelik Ücreti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4.2. Ek Kart Yıllık Üyelik Ücreti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4.3. Kart Yenileme Ücreti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4.4. Nakit Avans Çekim Ücreti</w:t>
                  </w:r>
                </w:p>
                <w:p w:rsidR="003C073E" w:rsidRPr="003C073E" w:rsidRDefault="003C073E" w:rsidP="003C073E">
                  <w:pPr>
                    <w:pBdr>
                      <w:bottom w:val="single" w:sz="4" w:space="1" w:color="auto"/>
                    </w:pBd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</w:p>
                <w:p w:rsidR="003C073E" w:rsidRPr="003C073E" w:rsidRDefault="003C073E" w:rsidP="003C073E">
                  <w:pPr>
                    <w:pBdr>
                      <w:bottom w:val="single" w:sz="4" w:space="1" w:color="auto"/>
                    </w:pBd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5. Diğer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5.1. Kiralık Kasa Ücreti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5.2. Kampanyalı Ürün veya Hizmetler Ücreti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5.3. Fatura Ödeme Ücreti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5.4. Arşiv - Araştırma Ücreti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5.5. Onaya Bağlı Bildirim Ücreti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5.6. Başka Kuruluş ATM'sinden Yapılan İşlem Ücreti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5.7. Kamu Kurum ve Kuruluşlarına Yapılan Ödemeler</w:t>
                  </w:r>
                </w:p>
                <w:p w:rsidR="003C073E" w:rsidRPr="003C073E" w:rsidRDefault="003C073E" w:rsidP="003C073E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</w:pPr>
                  <w:r w:rsidRPr="003C073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tr-TR"/>
                    </w:rPr>
                    <w:t>5.8. Üçüncü Kişilere Yapılan Ödemeler</w:t>
                  </w:r>
                </w:p>
                <w:p w:rsidR="003C073E" w:rsidRPr="003C073E" w:rsidRDefault="003C073E" w:rsidP="003C07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:rsidR="003C073E" w:rsidRPr="003C073E" w:rsidRDefault="003C073E" w:rsidP="003C0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A352D" w:rsidRDefault="00EA352D"/>
    <w:sectPr w:rsidR="00EA352D" w:rsidSect="00EA3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C073E"/>
    <w:rsid w:val="003C073E"/>
    <w:rsid w:val="00EA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5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3C073E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3C073E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3C073E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customStyle="1" w:styleId="AAAparagrafChar">
    <w:name w:val="AAA paragraf Char"/>
    <w:basedOn w:val="VarsaylanParagrafYazTipi"/>
    <w:link w:val="AAAparagraf"/>
    <w:locked/>
    <w:rsid w:val="003C073E"/>
    <w:rPr>
      <w:rFonts w:ascii="Lucida Sans Unicode" w:hAnsi="Lucida Sans Unicode" w:cs="Lucida Sans Unicode"/>
      <w:sz w:val="24"/>
      <w:szCs w:val="24"/>
      <w:lang w:eastAsia="tr-TR"/>
    </w:rPr>
  </w:style>
  <w:style w:type="paragraph" w:customStyle="1" w:styleId="AAAparagraf">
    <w:name w:val="AAA paragraf"/>
    <w:basedOn w:val="Normal"/>
    <w:link w:val="AAAparagrafChar"/>
    <w:rsid w:val="003C073E"/>
    <w:pPr>
      <w:autoSpaceDE w:val="0"/>
      <w:autoSpaceDN w:val="0"/>
      <w:adjustRightInd w:val="0"/>
      <w:spacing w:after="0" w:line="269" w:lineRule="exact"/>
      <w:ind w:firstLine="709"/>
      <w:jc w:val="both"/>
    </w:pPr>
    <w:rPr>
      <w:rFonts w:ascii="Lucida Sans Unicode" w:hAnsi="Lucida Sans Unicode" w:cs="Lucida Sans Unicode"/>
      <w:sz w:val="24"/>
      <w:szCs w:val="24"/>
      <w:lang w:eastAsia="tr-TR"/>
    </w:rPr>
  </w:style>
  <w:style w:type="character" w:customStyle="1" w:styleId="FontStyle14">
    <w:name w:val="Font Style14"/>
    <w:basedOn w:val="VarsaylanParagrafYazTipi"/>
    <w:rsid w:val="003C073E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" w:color="auto"/>
                    <w:right w:val="none" w:sz="0" w:space="0" w:color="auto"/>
                  </w:divBdr>
                </w:div>
                <w:div w:id="1942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" w:color="auto"/>
                    <w:right w:val="none" w:sz="0" w:space="0" w:color="auto"/>
                  </w:divBdr>
                </w:div>
                <w:div w:id="20918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" w:color="auto"/>
                    <w:right w:val="none" w:sz="0" w:space="0" w:color="auto"/>
                  </w:divBdr>
                </w:div>
                <w:div w:id="15204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" w:color="auto"/>
                    <w:right w:val="none" w:sz="0" w:space="0" w:color="auto"/>
                  </w:divBdr>
                </w:div>
                <w:div w:id="11601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" w:color="auto"/>
                    <w:right w:val="none" w:sz="0" w:space="0" w:color="auto"/>
                  </w:divBdr>
                </w:div>
                <w:div w:id="16965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3035</Words>
  <Characters>17302</Characters>
  <Application>Microsoft Office Word</Application>
  <DocSecurity>0</DocSecurity>
  <Lines>144</Lines>
  <Paragraphs>40</Paragraphs>
  <ScaleCrop>false</ScaleCrop>
  <Company/>
  <LinksUpToDate>false</LinksUpToDate>
  <CharactersWithSpaces>20297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haticea</dc:creator>
  <cp:lastModifiedBy>haticea</cp:lastModifiedBy>
  <cp:revision>1</cp:revision>
  <dcterms:created xsi:type="dcterms:W3CDTF">2014-10-03T06:06:00Z</dcterms:created>
  <dcterms:modified xsi:type="dcterms:W3CDTF">2014-10-03T06:08:00Z</dcterms:modified>
</cp:coreProperties>
</file>